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0CE" w:rsidRPr="001E33E3" w:rsidRDefault="006720CE" w:rsidP="006720CE">
      <w:pPr>
        <w:tabs>
          <w:tab w:val="left" w:pos="216"/>
        </w:tabs>
        <w:jc w:val="center"/>
        <w:rPr>
          <w:rFonts w:ascii="Arial" w:hAnsi="Arial" w:cs="Arial"/>
          <w:b/>
          <w:sz w:val="20"/>
          <w:szCs w:val="20"/>
        </w:rPr>
      </w:pPr>
      <w:r w:rsidRPr="001E33E3">
        <w:rPr>
          <w:rFonts w:ascii="Arial" w:hAnsi="Arial" w:cs="Arial"/>
          <w:b/>
          <w:sz w:val="20"/>
          <w:szCs w:val="20"/>
        </w:rPr>
        <w:t>Tabla de Actualización y Conservación de la Información</w:t>
      </w:r>
    </w:p>
    <w:p w:rsidR="006720CE" w:rsidRPr="00420161" w:rsidRDefault="006720CE" w:rsidP="006720CE">
      <w:pPr>
        <w:tabs>
          <w:tab w:val="left" w:pos="216"/>
        </w:tabs>
        <w:ind w:left="70"/>
        <w:jc w:val="center"/>
        <w:rPr>
          <w:rFonts w:ascii="Arial" w:hAnsi="Arial" w:cs="Arial"/>
          <w:b/>
          <w:sz w:val="18"/>
          <w:szCs w:val="18"/>
        </w:rPr>
      </w:pPr>
      <w:r w:rsidRPr="001E33E3">
        <w:rPr>
          <w:rFonts w:ascii="Arial" w:hAnsi="Arial" w:cs="Arial"/>
          <w:b/>
          <w:sz w:val="20"/>
          <w:szCs w:val="20"/>
        </w:rPr>
        <w:t>Poder Ejecutivo y los Municipios</w:t>
      </w:r>
    </w:p>
    <w:tbl>
      <w:tblPr>
        <w:tblW w:w="8712"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184"/>
        <w:gridCol w:w="1441"/>
        <w:gridCol w:w="1412"/>
        <w:gridCol w:w="1517"/>
        <w:gridCol w:w="1622"/>
        <w:gridCol w:w="1536"/>
      </w:tblGrid>
      <w:tr w:rsidR="006720CE" w:rsidRPr="00420161" w:rsidTr="00BA2B3F">
        <w:trPr>
          <w:trHeight w:val="20"/>
        </w:trPr>
        <w:tc>
          <w:tcPr>
            <w:tcW w:w="1184" w:type="dxa"/>
            <w:shd w:val="clear" w:color="auto" w:fill="auto"/>
            <w:noWrap/>
            <w:vAlign w:val="center"/>
          </w:tcPr>
          <w:p w:rsidR="006720CE" w:rsidRPr="00420161" w:rsidRDefault="006720CE" w:rsidP="00BA2B3F">
            <w:pPr>
              <w:spacing w:after="101" w:line="216" w:lineRule="exact"/>
              <w:jc w:val="center"/>
              <w:rPr>
                <w:rFonts w:ascii="Arial" w:hAnsi="Arial" w:cs="Arial"/>
                <w:b/>
                <w:sz w:val="14"/>
                <w:szCs w:val="18"/>
              </w:rPr>
            </w:pPr>
            <w:r w:rsidRPr="00420161">
              <w:rPr>
                <w:rFonts w:ascii="Arial" w:hAnsi="Arial" w:cs="Arial"/>
                <w:b/>
                <w:sz w:val="14"/>
                <w:szCs w:val="18"/>
              </w:rPr>
              <w:t>Artículo</w:t>
            </w:r>
          </w:p>
        </w:tc>
        <w:tc>
          <w:tcPr>
            <w:tcW w:w="1441" w:type="dxa"/>
            <w:shd w:val="clear" w:color="auto" w:fill="auto"/>
            <w:vAlign w:val="center"/>
          </w:tcPr>
          <w:p w:rsidR="006720CE" w:rsidRPr="00420161" w:rsidRDefault="006720CE" w:rsidP="00BA2B3F">
            <w:pPr>
              <w:spacing w:after="101" w:line="216" w:lineRule="exact"/>
              <w:jc w:val="center"/>
              <w:rPr>
                <w:rFonts w:ascii="Arial" w:hAnsi="Arial" w:cs="Arial"/>
                <w:b/>
                <w:sz w:val="14"/>
                <w:szCs w:val="18"/>
              </w:rPr>
            </w:pPr>
            <w:r w:rsidRPr="00420161">
              <w:rPr>
                <w:rFonts w:ascii="Arial" w:hAnsi="Arial" w:cs="Arial"/>
                <w:b/>
                <w:sz w:val="14"/>
                <w:szCs w:val="18"/>
              </w:rPr>
              <w:t>Fracción</w:t>
            </w:r>
          </w:p>
        </w:tc>
        <w:tc>
          <w:tcPr>
            <w:tcW w:w="1412" w:type="dxa"/>
            <w:shd w:val="clear" w:color="auto" w:fill="auto"/>
            <w:vAlign w:val="center"/>
          </w:tcPr>
          <w:p w:rsidR="006720CE" w:rsidRPr="00420161" w:rsidRDefault="006720CE" w:rsidP="00BA2B3F">
            <w:pPr>
              <w:spacing w:after="101" w:line="216" w:lineRule="exact"/>
              <w:jc w:val="center"/>
              <w:rPr>
                <w:rFonts w:ascii="Arial" w:hAnsi="Arial" w:cs="Arial"/>
                <w:b/>
                <w:sz w:val="14"/>
                <w:szCs w:val="18"/>
              </w:rPr>
            </w:pPr>
            <w:r w:rsidRPr="00420161">
              <w:rPr>
                <w:rFonts w:ascii="Arial" w:hAnsi="Arial" w:cs="Arial"/>
                <w:b/>
                <w:sz w:val="14"/>
                <w:szCs w:val="18"/>
              </w:rPr>
              <w:t>Inciso</w:t>
            </w:r>
          </w:p>
        </w:tc>
        <w:tc>
          <w:tcPr>
            <w:tcW w:w="1517" w:type="dxa"/>
            <w:shd w:val="clear" w:color="auto" w:fill="auto"/>
            <w:vAlign w:val="center"/>
          </w:tcPr>
          <w:p w:rsidR="006720CE" w:rsidRPr="00420161" w:rsidRDefault="006720CE" w:rsidP="00BA2B3F">
            <w:pPr>
              <w:spacing w:after="101" w:line="216" w:lineRule="exact"/>
              <w:jc w:val="center"/>
              <w:rPr>
                <w:rFonts w:ascii="Arial" w:hAnsi="Arial" w:cs="Arial"/>
                <w:b/>
                <w:sz w:val="14"/>
                <w:szCs w:val="18"/>
              </w:rPr>
            </w:pPr>
            <w:r w:rsidRPr="00420161">
              <w:rPr>
                <w:rFonts w:ascii="Arial" w:hAnsi="Arial" w:cs="Arial"/>
                <w:b/>
                <w:sz w:val="14"/>
                <w:szCs w:val="18"/>
              </w:rPr>
              <w:t>Periodo de actualización</w:t>
            </w:r>
          </w:p>
        </w:tc>
        <w:tc>
          <w:tcPr>
            <w:tcW w:w="1622" w:type="dxa"/>
            <w:shd w:val="clear" w:color="auto" w:fill="auto"/>
            <w:vAlign w:val="center"/>
          </w:tcPr>
          <w:p w:rsidR="006720CE" w:rsidRPr="00420161" w:rsidRDefault="006720CE" w:rsidP="00BA2B3F">
            <w:pPr>
              <w:spacing w:after="101" w:line="216" w:lineRule="exact"/>
              <w:jc w:val="center"/>
              <w:rPr>
                <w:rFonts w:ascii="Arial" w:hAnsi="Arial" w:cs="Arial"/>
                <w:b/>
                <w:sz w:val="14"/>
                <w:szCs w:val="18"/>
              </w:rPr>
            </w:pPr>
            <w:r w:rsidRPr="00420161">
              <w:rPr>
                <w:rFonts w:ascii="Arial" w:hAnsi="Arial" w:cs="Arial"/>
                <w:b/>
                <w:sz w:val="14"/>
                <w:szCs w:val="18"/>
              </w:rPr>
              <w:t>Observaciones acerca de la información a publicar</w:t>
            </w:r>
          </w:p>
        </w:tc>
        <w:tc>
          <w:tcPr>
            <w:tcW w:w="1536" w:type="dxa"/>
            <w:shd w:val="clear" w:color="auto" w:fill="auto"/>
            <w:vAlign w:val="center"/>
          </w:tcPr>
          <w:p w:rsidR="006720CE" w:rsidRPr="00420161" w:rsidRDefault="006720CE" w:rsidP="00BA2B3F">
            <w:pPr>
              <w:spacing w:after="101" w:line="216" w:lineRule="exact"/>
              <w:jc w:val="center"/>
              <w:rPr>
                <w:rFonts w:ascii="Arial" w:hAnsi="Arial" w:cs="Arial"/>
                <w:b/>
                <w:sz w:val="14"/>
                <w:szCs w:val="18"/>
              </w:rPr>
            </w:pPr>
            <w:r w:rsidRPr="00420161">
              <w:rPr>
                <w:rFonts w:ascii="Arial" w:hAnsi="Arial" w:cs="Arial"/>
                <w:b/>
                <w:sz w:val="14"/>
                <w:szCs w:val="18"/>
              </w:rPr>
              <w:t>Periodo de Conservación de la información</w:t>
            </w:r>
          </w:p>
        </w:tc>
      </w:tr>
      <w:tr w:rsidR="006720CE" w:rsidRPr="00420161" w:rsidTr="00BA2B3F">
        <w:trPr>
          <w:trHeight w:val="20"/>
        </w:trPr>
        <w:tc>
          <w:tcPr>
            <w:tcW w:w="1184" w:type="dxa"/>
            <w:vAlign w:val="center"/>
          </w:tcPr>
          <w:p w:rsidR="006720CE" w:rsidRPr="00420161" w:rsidRDefault="006720CE" w:rsidP="00BA2B3F">
            <w:pPr>
              <w:spacing w:after="101" w:line="234" w:lineRule="exact"/>
              <w:jc w:val="center"/>
              <w:rPr>
                <w:rFonts w:ascii="Arial" w:hAnsi="Arial" w:cs="Arial"/>
                <w:sz w:val="14"/>
                <w:szCs w:val="18"/>
              </w:rPr>
            </w:pPr>
            <w:r w:rsidRPr="00420161">
              <w:rPr>
                <w:rFonts w:ascii="Arial" w:hAnsi="Arial" w:cs="Arial"/>
                <w:b/>
                <w:i/>
                <w:sz w:val="14"/>
                <w:szCs w:val="18"/>
              </w:rPr>
              <w:t xml:space="preserve">Artículo 96. </w:t>
            </w:r>
            <w:r w:rsidRPr="00420161">
              <w:rPr>
                <w:rFonts w:ascii="Arial" w:hAnsi="Arial" w:cs="Arial"/>
                <w:i/>
                <w:sz w:val="14"/>
                <w:szCs w:val="18"/>
              </w:rPr>
              <w:t>Además de lo señalado en el artículo anterior, los sujetos obligados del Poder Ejecutivo y los Municipios, deberán poner a disposición del público y actualizar la siguiente información</w:t>
            </w:r>
          </w:p>
        </w:tc>
        <w:tc>
          <w:tcPr>
            <w:tcW w:w="1441" w:type="dxa"/>
            <w:vAlign w:val="center"/>
          </w:tcPr>
          <w:p w:rsidR="006720CE" w:rsidRPr="00420161" w:rsidRDefault="006720CE" w:rsidP="00BA2B3F">
            <w:pPr>
              <w:spacing w:after="101" w:line="234" w:lineRule="exact"/>
              <w:jc w:val="center"/>
              <w:rPr>
                <w:rFonts w:ascii="Arial" w:hAnsi="Arial" w:cs="Arial"/>
                <w:sz w:val="14"/>
                <w:szCs w:val="18"/>
              </w:rPr>
            </w:pPr>
            <w:r w:rsidRPr="00420161">
              <w:rPr>
                <w:rFonts w:ascii="Arial" w:hAnsi="Arial" w:cs="Arial"/>
                <w:b/>
                <w:i/>
                <w:sz w:val="14"/>
                <w:szCs w:val="18"/>
              </w:rPr>
              <w:t xml:space="preserve">Fracción I </w:t>
            </w:r>
            <w:r w:rsidRPr="00420161">
              <w:rPr>
                <w:rFonts w:ascii="Arial" w:hAnsi="Arial" w:cs="Arial"/>
                <w:i/>
                <w:sz w:val="14"/>
                <w:szCs w:val="18"/>
              </w:rPr>
              <w:t>En el caso del Poder Ejecutivo y los municipios:</w:t>
            </w:r>
          </w:p>
        </w:tc>
        <w:tc>
          <w:tcPr>
            <w:tcW w:w="1412" w:type="dxa"/>
            <w:vAlign w:val="center"/>
          </w:tcPr>
          <w:p w:rsidR="006720CE" w:rsidRPr="00420161" w:rsidRDefault="006720CE" w:rsidP="00BA2B3F">
            <w:pPr>
              <w:spacing w:after="101" w:line="234" w:lineRule="exact"/>
              <w:jc w:val="center"/>
              <w:rPr>
                <w:rFonts w:ascii="Arial" w:hAnsi="Arial" w:cs="Arial"/>
                <w:i/>
                <w:sz w:val="14"/>
                <w:szCs w:val="18"/>
              </w:rPr>
            </w:pPr>
            <w:r w:rsidRPr="00420161">
              <w:rPr>
                <w:rFonts w:ascii="Arial" w:hAnsi="Arial" w:cs="Arial"/>
                <w:i/>
                <w:sz w:val="14"/>
                <w:szCs w:val="18"/>
              </w:rPr>
              <w:t>a) El Plan Estatal y Municipal de Desarrollo, así como los planes y programas que deriven de ellos, según corresponda;</w:t>
            </w:r>
          </w:p>
        </w:tc>
        <w:tc>
          <w:tcPr>
            <w:tcW w:w="1517" w:type="dxa"/>
            <w:vAlign w:val="center"/>
          </w:tcPr>
          <w:p w:rsidR="006720CE" w:rsidRPr="00420161" w:rsidRDefault="006720CE" w:rsidP="00BA2B3F">
            <w:pPr>
              <w:spacing w:after="101" w:line="234" w:lineRule="exact"/>
              <w:jc w:val="center"/>
              <w:rPr>
                <w:rFonts w:ascii="Arial" w:hAnsi="Arial" w:cs="Arial"/>
                <w:sz w:val="14"/>
                <w:szCs w:val="18"/>
              </w:rPr>
            </w:pPr>
            <w:r w:rsidRPr="00420161">
              <w:rPr>
                <w:rFonts w:ascii="Arial" w:hAnsi="Arial" w:cs="Arial"/>
                <w:sz w:val="14"/>
                <w:szCs w:val="14"/>
              </w:rPr>
              <w:t>Para Poder Ejecutivo: cuando se decrete el Plan respectivo cada seis años; en caso de que el Congreso del Estado realice observaciones para su ejecución, revisión o adecuación, se actualizará en marzo de cada año. Trianual para los Municipios (Ayuntamientos), los cuales actualizarán el Plan Municipal de Desarrollo cada tres años.</w:t>
            </w:r>
          </w:p>
        </w:tc>
        <w:tc>
          <w:tcPr>
            <w:tcW w:w="1622" w:type="dxa"/>
            <w:vAlign w:val="center"/>
          </w:tcPr>
          <w:p w:rsidR="006720CE" w:rsidRPr="00420161" w:rsidRDefault="006720CE" w:rsidP="00BA2B3F">
            <w:pPr>
              <w:spacing w:after="101" w:line="234" w:lineRule="exact"/>
              <w:jc w:val="center"/>
              <w:rPr>
                <w:rFonts w:ascii="Arial" w:hAnsi="Arial" w:cs="Arial"/>
                <w:sz w:val="14"/>
                <w:szCs w:val="18"/>
              </w:rPr>
            </w:pPr>
            <w:r w:rsidRPr="00420161">
              <w:rPr>
                <w:rFonts w:ascii="Arial" w:hAnsi="Arial" w:cs="Arial"/>
                <w:b/>
                <w:sz w:val="14"/>
                <w:szCs w:val="18"/>
              </w:rPr>
              <w:t xml:space="preserve">Poder Ejecutivo. </w:t>
            </w:r>
            <w:r w:rsidRPr="00420161">
              <w:rPr>
                <w:rFonts w:ascii="Arial" w:hAnsi="Arial" w:cs="Arial"/>
                <w:sz w:val="14"/>
                <w:szCs w:val="18"/>
              </w:rPr>
              <w:t>Cuando se decrete el Plan respectivo cada seis años; en caso de que el Congreso del Estado realice observaciones para su ejecución, revisión o adecuación, se actualizará en marzo de cada año.</w:t>
            </w:r>
          </w:p>
          <w:p w:rsidR="006720CE" w:rsidRPr="00420161" w:rsidRDefault="006720CE" w:rsidP="00BA2B3F">
            <w:pPr>
              <w:spacing w:after="101" w:line="234" w:lineRule="exact"/>
              <w:jc w:val="center"/>
              <w:rPr>
                <w:rFonts w:ascii="Arial" w:hAnsi="Arial" w:cs="Arial"/>
                <w:sz w:val="14"/>
                <w:szCs w:val="18"/>
              </w:rPr>
            </w:pPr>
            <w:r w:rsidRPr="00420161">
              <w:rPr>
                <w:rFonts w:ascii="Arial" w:hAnsi="Arial" w:cs="Arial"/>
                <w:b/>
                <w:sz w:val="14"/>
                <w:szCs w:val="18"/>
              </w:rPr>
              <w:t>Municipios (Ayuntamientos).</w:t>
            </w:r>
            <w:r w:rsidRPr="00420161">
              <w:rPr>
                <w:rFonts w:ascii="Arial" w:hAnsi="Arial" w:cs="Arial"/>
                <w:sz w:val="14"/>
                <w:szCs w:val="18"/>
              </w:rPr>
              <w:t xml:space="preserve"> Actualizarán el Plan Municipal de Desarrollo cada tres años.</w:t>
            </w:r>
          </w:p>
        </w:tc>
        <w:tc>
          <w:tcPr>
            <w:tcW w:w="1536" w:type="dxa"/>
            <w:vAlign w:val="center"/>
          </w:tcPr>
          <w:p w:rsidR="006720CE" w:rsidRPr="00420161" w:rsidRDefault="006720CE" w:rsidP="00BA2B3F">
            <w:pPr>
              <w:spacing w:after="101" w:line="234" w:lineRule="exact"/>
              <w:jc w:val="center"/>
              <w:rPr>
                <w:rFonts w:ascii="Arial" w:hAnsi="Arial" w:cs="Arial"/>
                <w:sz w:val="14"/>
                <w:szCs w:val="18"/>
              </w:rPr>
            </w:pPr>
            <w:r w:rsidRPr="00420161">
              <w:rPr>
                <w:rFonts w:ascii="Arial" w:hAnsi="Arial" w:cs="Arial"/>
                <w:sz w:val="14"/>
                <w:szCs w:val="18"/>
              </w:rPr>
              <w:t>Información vigente y la correspondiente a por lo menos dos administraciones anteriores.</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Fracción 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b) La información detallada que contengan los planes de desarrollo urbano, ordenamiento territorial y ecológico, los tipos y usos de suelo, licencias de uso de suelo y construcción otorgadas por los gobiernos municipales.</w:t>
            </w:r>
          </w:p>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Asimismo, por conducto de la autoridad competente, las solicitudes de evaluación de impacto ambiental y los resolutivos emitidos por la autoridad; las opiniones técnicas en materia de impacto ambiental; los resultados de estudios de calidad del aire por Municipio; y el programa de ordenamiento territorial estatal</w:t>
            </w:r>
          </w:p>
          <w:p w:rsidR="006720CE" w:rsidRPr="00420161" w:rsidRDefault="006720CE" w:rsidP="00BA2B3F">
            <w:pPr>
              <w:spacing w:after="80" w:line="196" w:lineRule="exact"/>
              <w:jc w:val="center"/>
              <w:rPr>
                <w:rFonts w:ascii="Arial" w:hAnsi="Arial" w:cs="Arial"/>
                <w:i/>
                <w:sz w:val="14"/>
                <w:szCs w:val="18"/>
              </w:rPr>
            </w:pP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Anual. En el caso del Poder Ejecutivo.</w:t>
            </w:r>
          </w:p>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Trianual. Los municipios actualizarán el/los Plan(es) Municipales cada tres años.</w:t>
            </w:r>
          </w:p>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Respecto a los tipos de uso del suelo, licencias de uso y construcción; evaluación, opiniones y estudios sobre impacto ambiental y sus resolutivos, se actualizarán trimestralmente.</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Si la información es objeto de modificaciones, deberá actualizarse dentro de los 10 días hábiles siguientes.</w:t>
            </w:r>
          </w:p>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Respecto a los tipos de uso del suelo, licencias de uso y construcción; evaluación, opiniones y estudios sobre impacto ambiental y sus resolutivos, se actualizarán trimestralmente.</w:t>
            </w:r>
          </w:p>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En caso de sufrir modificaciones, éstas deberán actualizarse dentro de los 10 días hábiles siguientes.</w:t>
            </w:r>
          </w:p>
        </w:tc>
        <w:tc>
          <w:tcPr>
            <w:tcW w:w="1536"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Los Planes vigentes.</w:t>
            </w:r>
          </w:p>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Respecto a los tipos de uso del suelo, licencias de uso y construcción; evaluación, opiniones y estudios sobre impacto ambiental y sus resolutivos, la información de dos ejercicios anteriores y la del ejercicio en curso.</w:t>
            </w:r>
          </w:p>
        </w:tc>
      </w:tr>
      <w:tr w:rsidR="006720CE" w:rsidRPr="00420161" w:rsidTr="00BA2B3F">
        <w:trPr>
          <w:trHeight w:val="20"/>
        </w:trPr>
        <w:tc>
          <w:tcPr>
            <w:tcW w:w="1184" w:type="dxa"/>
            <w:vAlign w:val="center"/>
          </w:tcPr>
          <w:p w:rsidR="006720CE" w:rsidRPr="00420161" w:rsidRDefault="006720CE" w:rsidP="00BA2B3F">
            <w:pPr>
              <w:spacing w:after="101" w:line="238" w:lineRule="exact"/>
              <w:jc w:val="center"/>
              <w:rPr>
                <w:rFonts w:ascii="Arial" w:hAnsi="Arial" w:cs="Arial"/>
                <w:b/>
                <w:i/>
                <w:sz w:val="14"/>
                <w:szCs w:val="18"/>
              </w:rPr>
            </w:pPr>
            <w:r w:rsidRPr="00420161">
              <w:rPr>
                <w:rFonts w:ascii="Arial" w:hAnsi="Arial" w:cs="Arial"/>
                <w:b/>
                <w:i/>
                <w:sz w:val="14"/>
                <w:szCs w:val="18"/>
              </w:rPr>
              <w:lastRenderedPageBreak/>
              <w:t>Artículo 96…</w:t>
            </w:r>
          </w:p>
        </w:tc>
        <w:tc>
          <w:tcPr>
            <w:tcW w:w="1441"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b/>
                <w:i/>
                <w:sz w:val="14"/>
                <w:szCs w:val="18"/>
              </w:rPr>
              <w:t>Fracción I</w:t>
            </w:r>
            <w:r w:rsidRPr="00420161">
              <w:rPr>
                <w:rFonts w:ascii="Arial" w:hAnsi="Arial" w:cs="Arial"/>
                <w:b/>
                <w:sz w:val="14"/>
                <w:szCs w:val="18"/>
              </w:rPr>
              <w:t>…</w:t>
            </w:r>
          </w:p>
        </w:tc>
        <w:tc>
          <w:tcPr>
            <w:tcW w:w="1412" w:type="dxa"/>
            <w:vAlign w:val="center"/>
          </w:tcPr>
          <w:p w:rsidR="006720CE" w:rsidRPr="00420161" w:rsidRDefault="006720CE" w:rsidP="00BA2B3F">
            <w:pPr>
              <w:spacing w:after="101" w:line="238" w:lineRule="exact"/>
              <w:jc w:val="center"/>
              <w:rPr>
                <w:rFonts w:ascii="Arial" w:hAnsi="Arial" w:cs="Arial"/>
                <w:i/>
                <w:sz w:val="14"/>
                <w:szCs w:val="18"/>
              </w:rPr>
            </w:pPr>
            <w:r w:rsidRPr="00420161">
              <w:rPr>
                <w:rFonts w:ascii="Arial" w:hAnsi="Arial" w:cs="Arial"/>
                <w:i/>
                <w:sz w:val="14"/>
                <w:szCs w:val="18"/>
              </w:rPr>
              <w:t>c) El presupuesto de egresos y las fórmulas de distribución de los recursos otorgados;</w:t>
            </w:r>
          </w:p>
        </w:tc>
        <w:tc>
          <w:tcPr>
            <w:tcW w:w="1517"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Anual</w:t>
            </w:r>
          </w:p>
        </w:tc>
        <w:tc>
          <w:tcPr>
            <w:tcW w:w="1622"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Información vigente y la correspondiente a todos los ejercicios de la administración en curso, y por lo menos dos administraciones anteriores.</w:t>
            </w:r>
          </w:p>
        </w:tc>
      </w:tr>
      <w:tr w:rsidR="006720CE" w:rsidRPr="00420161" w:rsidTr="00BA2B3F">
        <w:trPr>
          <w:trHeight w:val="20"/>
        </w:trPr>
        <w:tc>
          <w:tcPr>
            <w:tcW w:w="1184" w:type="dxa"/>
            <w:vAlign w:val="center"/>
          </w:tcPr>
          <w:p w:rsidR="006720CE" w:rsidRPr="00420161" w:rsidRDefault="006720CE" w:rsidP="00BA2B3F">
            <w:pPr>
              <w:spacing w:after="101" w:line="238"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101" w:line="238" w:lineRule="exact"/>
              <w:jc w:val="center"/>
              <w:rPr>
                <w:rFonts w:ascii="Arial" w:hAnsi="Arial" w:cs="Arial"/>
                <w:b/>
                <w:i/>
                <w:sz w:val="14"/>
                <w:szCs w:val="18"/>
              </w:rPr>
            </w:pPr>
            <w:r w:rsidRPr="00420161">
              <w:rPr>
                <w:rFonts w:ascii="Arial" w:hAnsi="Arial" w:cs="Arial"/>
                <w:b/>
                <w:i/>
                <w:sz w:val="14"/>
                <w:szCs w:val="18"/>
              </w:rPr>
              <w:t>Fracción I</w:t>
            </w:r>
            <w:r w:rsidRPr="00420161">
              <w:rPr>
                <w:rFonts w:ascii="Arial" w:hAnsi="Arial" w:cs="Arial"/>
                <w:b/>
                <w:sz w:val="14"/>
                <w:szCs w:val="18"/>
              </w:rPr>
              <w:t>…</w:t>
            </w:r>
          </w:p>
        </w:tc>
        <w:tc>
          <w:tcPr>
            <w:tcW w:w="1412" w:type="dxa"/>
            <w:vAlign w:val="center"/>
          </w:tcPr>
          <w:p w:rsidR="006720CE" w:rsidRPr="00420161" w:rsidRDefault="006720CE" w:rsidP="00BA2B3F">
            <w:pPr>
              <w:spacing w:after="101" w:line="238" w:lineRule="exact"/>
              <w:jc w:val="center"/>
              <w:rPr>
                <w:rFonts w:ascii="Arial" w:hAnsi="Arial" w:cs="Arial"/>
                <w:i/>
                <w:sz w:val="14"/>
                <w:szCs w:val="18"/>
              </w:rPr>
            </w:pPr>
            <w:r w:rsidRPr="00420161">
              <w:rPr>
                <w:rFonts w:ascii="Arial" w:hAnsi="Arial" w:cs="Arial"/>
                <w:i/>
                <w:sz w:val="14"/>
                <w:szCs w:val="18"/>
              </w:rPr>
              <w:t>d) El listado de expropiaciones decretadas y ejecutadas que incluya cuando menos la fecha de expropiación, el domicilio y la causa de utilidad pública, así como la ocupación superficial;</w:t>
            </w:r>
          </w:p>
        </w:tc>
        <w:tc>
          <w:tcPr>
            <w:tcW w:w="1517"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Información del ejercicio en curso por lo menos una administración anterior.</w:t>
            </w:r>
          </w:p>
          <w:p w:rsidR="006720CE" w:rsidRPr="00420161" w:rsidRDefault="006720CE" w:rsidP="00BA2B3F">
            <w:pPr>
              <w:spacing w:after="101" w:line="238" w:lineRule="exact"/>
              <w:jc w:val="center"/>
              <w:rPr>
                <w:rFonts w:ascii="Arial" w:hAnsi="Arial" w:cs="Arial"/>
                <w:sz w:val="14"/>
                <w:szCs w:val="18"/>
              </w:rPr>
            </w:pPr>
          </w:p>
        </w:tc>
      </w:tr>
      <w:tr w:rsidR="006720CE" w:rsidRPr="00420161" w:rsidTr="00BA2B3F">
        <w:trPr>
          <w:trHeight w:val="20"/>
        </w:trPr>
        <w:tc>
          <w:tcPr>
            <w:tcW w:w="1184" w:type="dxa"/>
            <w:vAlign w:val="center"/>
          </w:tcPr>
          <w:p w:rsidR="006720CE" w:rsidRPr="00420161" w:rsidRDefault="006720CE" w:rsidP="00BA2B3F">
            <w:pPr>
              <w:spacing w:after="101" w:line="238"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101" w:line="238" w:lineRule="exact"/>
              <w:jc w:val="center"/>
              <w:rPr>
                <w:rFonts w:ascii="Arial" w:hAnsi="Arial" w:cs="Arial"/>
                <w:b/>
                <w:i/>
                <w:sz w:val="14"/>
                <w:szCs w:val="18"/>
              </w:rPr>
            </w:pPr>
            <w:r w:rsidRPr="00420161">
              <w:rPr>
                <w:rFonts w:ascii="Arial" w:hAnsi="Arial" w:cs="Arial"/>
                <w:b/>
                <w:i/>
                <w:sz w:val="14"/>
                <w:szCs w:val="18"/>
              </w:rPr>
              <w:t>Fracción I</w:t>
            </w:r>
            <w:r w:rsidRPr="00420161">
              <w:rPr>
                <w:rFonts w:ascii="Arial" w:hAnsi="Arial" w:cs="Arial"/>
                <w:b/>
                <w:sz w:val="14"/>
                <w:szCs w:val="18"/>
              </w:rPr>
              <w:t>…</w:t>
            </w:r>
          </w:p>
        </w:tc>
        <w:tc>
          <w:tcPr>
            <w:tcW w:w="1412" w:type="dxa"/>
            <w:vAlign w:val="center"/>
          </w:tcPr>
          <w:p w:rsidR="006720CE" w:rsidRPr="00420161" w:rsidRDefault="006720CE" w:rsidP="00BA2B3F">
            <w:pPr>
              <w:spacing w:after="101" w:line="238" w:lineRule="exact"/>
              <w:jc w:val="center"/>
              <w:rPr>
                <w:rFonts w:ascii="Arial" w:hAnsi="Arial" w:cs="Arial"/>
                <w:i/>
                <w:sz w:val="14"/>
                <w:szCs w:val="18"/>
              </w:rPr>
            </w:pPr>
            <w:r w:rsidRPr="00420161">
              <w:rPr>
                <w:rFonts w:ascii="Arial" w:hAnsi="Arial" w:cs="Arial"/>
                <w:i/>
                <w:sz w:val="14"/>
                <w:szCs w:val="18"/>
              </w:rPr>
              <w:t>e)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tc>
        <w:tc>
          <w:tcPr>
            <w:tcW w:w="1517"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Información vigente, y la del ejercicio en curso.</w:t>
            </w:r>
          </w:p>
          <w:p w:rsidR="006720CE" w:rsidRPr="00420161" w:rsidRDefault="006720CE" w:rsidP="00BA2B3F">
            <w:pPr>
              <w:spacing w:after="101" w:line="238" w:lineRule="exact"/>
              <w:jc w:val="center"/>
              <w:rPr>
                <w:rFonts w:ascii="Arial" w:hAnsi="Arial" w:cs="Arial"/>
                <w:sz w:val="14"/>
                <w:szCs w:val="18"/>
              </w:rPr>
            </w:pPr>
          </w:p>
        </w:tc>
      </w:tr>
      <w:tr w:rsidR="006720CE" w:rsidRPr="00420161" w:rsidTr="00BA2B3F">
        <w:trPr>
          <w:trHeight w:val="20"/>
        </w:trPr>
        <w:tc>
          <w:tcPr>
            <w:tcW w:w="1184" w:type="dxa"/>
            <w:vAlign w:val="center"/>
          </w:tcPr>
          <w:p w:rsidR="006720CE" w:rsidRPr="00420161" w:rsidRDefault="006720CE" w:rsidP="00BA2B3F">
            <w:pPr>
              <w:spacing w:after="101" w:line="238"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101" w:line="238" w:lineRule="exact"/>
              <w:jc w:val="center"/>
              <w:rPr>
                <w:rFonts w:ascii="Arial" w:hAnsi="Arial" w:cs="Arial"/>
                <w:b/>
                <w:i/>
                <w:sz w:val="14"/>
                <w:szCs w:val="18"/>
              </w:rPr>
            </w:pPr>
            <w:r w:rsidRPr="00420161">
              <w:rPr>
                <w:rFonts w:ascii="Arial" w:hAnsi="Arial" w:cs="Arial"/>
                <w:b/>
                <w:i/>
                <w:sz w:val="14"/>
                <w:szCs w:val="18"/>
              </w:rPr>
              <w:t>Fracción I</w:t>
            </w:r>
            <w:r w:rsidRPr="00420161">
              <w:rPr>
                <w:rFonts w:ascii="Arial" w:hAnsi="Arial" w:cs="Arial"/>
                <w:b/>
                <w:sz w:val="14"/>
                <w:szCs w:val="18"/>
              </w:rPr>
              <w:t>…</w:t>
            </w:r>
          </w:p>
        </w:tc>
        <w:tc>
          <w:tcPr>
            <w:tcW w:w="1412" w:type="dxa"/>
            <w:vAlign w:val="center"/>
          </w:tcPr>
          <w:p w:rsidR="006720CE" w:rsidRPr="00420161" w:rsidRDefault="006720CE" w:rsidP="00BA2B3F">
            <w:pPr>
              <w:spacing w:after="101" w:line="238" w:lineRule="exact"/>
              <w:jc w:val="center"/>
              <w:rPr>
                <w:rFonts w:ascii="Arial" w:hAnsi="Arial" w:cs="Arial"/>
                <w:i/>
                <w:sz w:val="14"/>
                <w:szCs w:val="18"/>
              </w:rPr>
            </w:pPr>
            <w:r w:rsidRPr="00420161">
              <w:rPr>
                <w:rFonts w:ascii="Arial" w:hAnsi="Arial" w:cs="Arial"/>
                <w:i/>
                <w:sz w:val="14"/>
                <w:szCs w:val="18"/>
              </w:rPr>
              <w:t xml:space="preserve">f) Los nombres de las personas a quienes se les habilitó para ejercer como notarios públicos, así como sus datos de contacto, la información relacionada con el proceso de otorgamiento del </w:t>
            </w:r>
            <w:proofErr w:type="spellStart"/>
            <w:r w:rsidRPr="00420161">
              <w:rPr>
                <w:rFonts w:ascii="Arial" w:hAnsi="Arial" w:cs="Arial"/>
                <w:i/>
                <w:sz w:val="14"/>
                <w:szCs w:val="18"/>
              </w:rPr>
              <w:t>fiat</w:t>
            </w:r>
            <w:proofErr w:type="spellEnd"/>
            <w:r w:rsidRPr="00420161">
              <w:rPr>
                <w:rFonts w:ascii="Arial" w:hAnsi="Arial" w:cs="Arial"/>
                <w:i/>
                <w:sz w:val="14"/>
                <w:szCs w:val="18"/>
              </w:rPr>
              <w:t xml:space="preserve"> y las sanciones que se les hubieran </w:t>
            </w:r>
            <w:r w:rsidRPr="00420161">
              <w:rPr>
                <w:rFonts w:ascii="Arial" w:hAnsi="Arial" w:cs="Arial"/>
                <w:i/>
                <w:sz w:val="14"/>
                <w:szCs w:val="18"/>
              </w:rPr>
              <w:lastRenderedPageBreak/>
              <w:t>aplicado;</w:t>
            </w:r>
          </w:p>
        </w:tc>
        <w:tc>
          <w:tcPr>
            <w:tcW w:w="1517"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lastRenderedPageBreak/>
              <w:t>Trimestral</w:t>
            </w:r>
          </w:p>
        </w:tc>
        <w:tc>
          <w:tcPr>
            <w:tcW w:w="1622"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101" w:line="238" w:lineRule="exact"/>
              <w:jc w:val="center"/>
              <w:rPr>
                <w:rFonts w:ascii="Arial" w:hAnsi="Arial" w:cs="Arial"/>
                <w:sz w:val="14"/>
                <w:szCs w:val="18"/>
              </w:rPr>
            </w:pPr>
            <w:r w:rsidRPr="00420161">
              <w:rPr>
                <w:rFonts w:ascii="Arial" w:hAnsi="Arial" w:cs="Arial"/>
                <w:sz w:val="14"/>
                <w:szCs w:val="18"/>
              </w:rPr>
              <w:t>Información vigente.</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lastRenderedPageBreak/>
              <w:t>Artículo 96…</w:t>
            </w:r>
          </w:p>
        </w:tc>
        <w:tc>
          <w:tcPr>
            <w:tcW w:w="1441"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Fracción 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g) Toda la información relativa a la inversión concurrente en materia energética e infraestructura de obra pública en la que participen con los sujetos obligados de la federación;</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4"/>
              </w:rPr>
              <w:t>Información vigente y la correspondiente a todos los ejercicios de la administración en curso, y por lo menos una administración anterior.</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Fracción 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h)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y,</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Información vigente.</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Fracción 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i) Las aportaciones en dinero o en especie que reciban de las diversas personas físicas o morales, nacionales o internacionales, a través de los centros de acopio o en las instituciones de crédito, para ayudar en comunidades en emergencia o desastre.</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4"/>
              </w:rPr>
            </w:pPr>
            <w:r w:rsidRPr="00420161">
              <w:rPr>
                <w:rFonts w:ascii="Arial" w:hAnsi="Arial" w:cs="Arial"/>
                <w:sz w:val="14"/>
                <w:szCs w:val="14"/>
              </w:rPr>
              <w:t>Información vigente y la correspondiente a todos los ejercicios de la administración en curso, y por lo menos una administración anterior.</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b/>
                <w:i/>
                <w:sz w:val="14"/>
                <w:szCs w:val="18"/>
              </w:rPr>
              <w:t xml:space="preserve">Fracción II </w:t>
            </w:r>
            <w:r w:rsidRPr="00420161">
              <w:rPr>
                <w:rFonts w:ascii="Arial" w:hAnsi="Arial" w:cs="Arial"/>
                <w:i/>
                <w:sz w:val="14"/>
                <w:szCs w:val="18"/>
              </w:rPr>
              <w:t>Adicionalmente en el caso del Poder Ejecutivo</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a) Las iniciativas de Ley, de reforma o decreto presentadas ante el Congreso del Estado;</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4"/>
              </w:rPr>
            </w:pPr>
            <w:r w:rsidRPr="00420161">
              <w:rPr>
                <w:rFonts w:ascii="Arial" w:hAnsi="Arial" w:cs="Arial"/>
                <w:sz w:val="14"/>
                <w:szCs w:val="14"/>
              </w:rPr>
              <w:t>Información vigente y la correspondiente a la administración en curso, y por lo menos dos administraciones anteriores.</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Fracción II…</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b) La información necesaria para el adecuado y oportuno pago de las contribuciones;</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4"/>
              </w:rPr>
            </w:pPr>
            <w:r w:rsidRPr="00420161">
              <w:rPr>
                <w:rFonts w:ascii="Arial" w:hAnsi="Arial" w:cs="Arial"/>
                <w:sz w:val="14"/>
                <w:szCs w:val="14"/>
              </w:rPr>
              <w:t xml:space="preserve">Información vigente y la correspondiente a la administración en curso, y por lo menos dos administraciones </w:t>
            </w:r>
            <w:r w:rsidRPr="00420161">
              <w:rPr>
                <w:rFonts w:ascii="Arial" w:hAnsi="Arial" w:cs="Arial"/>
                <w:sz w:val="14"/>
                <w:szCs w:val="14"/>
              </w:rPr>
              <w:lastRenderedPageBreak/>
              <w:t>anteriores.</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lastRenderedPageBreak/>
              <w:t>Artículo 96…</w:t>
            </w:r>
          </w:p>
        </w:tc>
        <w:tc>
          <w:tcPr>
            <w:tcW w:w="1441"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Fracción II…</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c) Las estadísticas e indicadores de gestión de la procuración de justicia; y,</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4"/>
              </w:rPr>
            </w:pPr>
            <w:r w:rsidRPr="00420161">
              <w:rPr>
                <w:rFonts w:ascii="Arial" w:hAnsi="Arial" w:cs="Arial"/>
                <w:sz w:val="14"/>
                <w:szCs w:val="14"/>
              </w:rPr>
              <w:t>Información vigente de la administración en curso, y por lo menos una administración anterior.</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Fracción II…</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d) En materia de averiguaciones previas: estadísticas sobre el número de averiguaciones previas, indicando en cuántas se ejerció acción penal, en cuáles se decretó el no ejercicio, cuántas se decretó su reserva por falta de datos y por incompetencia por razón de territorio o materia.</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4"/>
              </w:rPr>
            </w:pPr>
            <w:r w:rsidRPr="00420161">
              <w:rPr>
                <w:rFonts w:ascii="Arial" w:hAnsi="Arial" w:cs="Arial"/>
                <w:sz w:val="14"/>
                <w:szCs w:val="14"/>
              </w:rPr>
              <w:t>Información vigente de la administración en curso, y por lo menos una administración anterior.</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b/>
                <w:i/>
                <w:sz w:val="14"/>
                <w:szCs w:val="18"/>
              </w:rPr>
              <w:t xml:space="preserve">Fracción III </w:t>
            </w:r>
            <w:r w:rsidRPr="00420161">
              <w:rPr>
                <w:rFonts w:ascii="Arial" w:hAnsi="Arial" w:cs="Arial"/>
                <w:i/>
                <w:sz w:val="14"/>
                <w:szCs w:val="18"/>
              </w:rPr>
              <w:t>Adicionalmente en el caso de los municipios:</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a) La integración y conformación política del Cabildo, así como el día y hora de sus sesiones ordinarias;</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4"/>
              </w:rPr>
              <w:t>Información vigente y la correspondiente a la administración en curso, y por lo menos una administración anterior.</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80" w:line="196" w:lineRule="exact"/>
              <w:jc w:val="center"/>
              <w:rPr>
                <w:rFonts w:ascii="Arial" w:hAnsi="Arial" w:cs="Arial"/>
                <w:b/>
                <w:sz w:val="14"/>
                <w:szCs w:val="18"/>
              </w:rPr>
            </w:pPr>
            <w:r w:rsidRPr="00420161">
              <w:rPr>
                <w:rFonts w:ascii="Arial" w:hAnsi="Arial" w:cs="Arial"/>
                <w:b/>
                <w:i/>
                <w:sz w:val="14"/>
                <w:szCs w:val="18"/>
              </w:rPr>
              <w:t>Fracción III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b) La integración de las comisiones de regidores al interior del Cabildo;</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4"/>
              </w:rPr>
              <w:t>Información vigente y la correspondiente a la administración en curso, y por lo menos una administración anterior.</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Fracción III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c) Las actas de sesiones de Cabildo y de las Comisiones, los controles de asistencia de los integrantes y el sentido de votación de estos sobre las iniciativas o acuerdos;</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Información del ejercicio en curso.</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tcPr>
          <w:p w:rsidR="006720CE" w:rsidRPr="00420161" w:rsidRDefault="006720CE" w:rsidP="00BA2B3F">
            <w:pPr>
              <w:jc w:val="center"/>
            </w:pPr>
            <w:r w:rsidRPr="00420161">
              <w:rPr>
                <w:rFonts w:ascii="Arial" w:hAnsi="Arial" w:cs="Arial"/>
                <w:b/>
                <w:i/>
                <w:sz w:val="14"/>
                <w:szCs w:val="18"/>
              </w:rPr>
              <w:t>Fracción III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d) El contenido de las publicaciones en periódico oficial o gacetas municipal, las cuales deberán comprender los resolutivos y acuerdos aprobados por los ayuntamientos;</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De acuerdo con la normatividad correspondiente.</w:t>
            </w:r>
          </w:p>
        </w:tc>
        <w:tc>
          <w:tcPr>
            <w:tcW w:w="1536"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Información vigente y los periódicos oficiales o gacetas publicadas durante el ejercicio en curso.</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tcPr>
          <w:p w:rsidR="006720CE" w:rsidRPr="00420161" w:rsidRDefault="006720CE" w:rsidP="00BA2B3F">
            <w:pPr>
              <w:jc w:val="center"/>
            </w:pPr>
            <w:r w:rsidRPr="00420161">
              <w:rPr>
                <w:rFonts w:ascii="Arial" w:hAnsi="Arial" w:cs="Arial"/>
                <w:b/>
                <w:i/>
                <w:sz w:val="14"/>
                <w:szCs w:val="18"/>
              </w:rPr>
              <w:t>Fracción III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 xml:space="preserve">e) Estadísticas e indicadores del desempeño de los cuerpos de policía y </w:t>
            </w:r>
            <w:r w:rsidRPr="00420161">
              <w:rPr>
                <w:rFonts w:ascii="Arial" w:hAnsi="Arial" w:cs="Arial"/>
                <w:i/>
                <w:sz w:val="14"/>
                <w:szCs w:val="18"/>
              </w:rPr>
              <w:lastRenderedPageBreak/>
              <w:t>gobierno;</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lastRenderedPageBreak/>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4"/>
              </w:rPr>
            </w:pPr>
            <w:r w:rsidRPr="00420161">
              <w:rPr>
                <w:rFonts w:ascii="Arial" w:hAnsi="Arial" w:cs="Arial"/>
                <w:sz w:val="14"/>
                <w:szCs w:val="14"/>
              </w:rPr>
              <w:t xml:space="preserve">Información vigente y la correspondiente a la administración en curso, y por lo menos </w:t>
            </w:r>
            <w:r w:rsidRPr="00420161">
              <w:rPr>
                <w:rFonts w:ascii="Arial" w:hAnsi="Arial" w:cs="Arial"/>
                <w:sz w:val="14"/>
                <w:szCs w:val="14"/>
              </w:rPr>
              <w:lastRenderedPageBreak/>
              <w:t>dos administraciones anteriores.</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lastRenderedPageBreak/>
              <w:t>Artículo 96…</w:t>
            </w:r>
          </w:p>
        </w:tc>
        <w:tc>
          <w:tcPr>
            <w:tcW w:w="1441" w:type="dxa"/>
          </w:tcPr>
          <w:p w:rsidR="006720CE" w:rsidRPr="00420161" w:rsidRDefault="006720CE" w:rsidP="00BA2B3F">
            <w:pPr>
              <w:jc w:val="center"/>
            </w:pPr>
            <w:r w:rsidRPr="00420161">
              <w:rPr>
                <w:rFonts w:ascii="Arial" w:hAnsi="Arial" w:cs="Arial"/>
                <w:b/>
                <w:i/>
                <w:sz w:val="14"/>
                <w:szCs w:val="18"/>
              </w:rPr>
              <w:t>Fracción III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f) Los contratos de concesión de servicios públicos suscritos con particulares;</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4"/>
              </w:rPr>
            </w:pPr>
            <w:r w:rsidRPr="00420161">
              <w:rPr>
                <w:rFonts w:ascii="Arial" w:hAnsi="Arial" w:cs="Arial"/>
                <w:sz w:val="14"/>
                <w:szCs w:val="14"/>
              </w:rPr>
              <w:t>Información vigente y la correspondiente a la administración en curso, y por lo menos una administración anterior.</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tcPr>
          <w:p w:rsidR="006720CE" w:rsidRPr="00420161" w:rsidRDefault="006720CE" w:rsidP="00BA2B3F">
            <w:pPr>
              <w:jc w:val="center"/>
            </w:pPr>
            <w:r w:rsidRPr="00420161">
              <w:rPr>
                <w:rFonts w:ascii="Arial" w:hAnsi="Arial" w:cs="Arial"/>
                <w:b/>
                <w:i/>
                <w:sz w:val="14"/>
                <w:szCs w:val="18"/>
              </w:rPr>
              <w:t>Fracción III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g) La información que verse sobre la enajenación de bienes muebles e inmuebles del dominio público o privado;</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spacing w:after="80" w:line="196" w:lineRule="exact"/>
              <w:jc w:val="center"/>
              <w:rPr>
                <w:rFonts w:ascii="Arial" w:hAnsi="Arial" w:cs="Arial"/>
                <w:sz w:val="14"/>
                <w:szCs w:val="14"/>
              </w:rPr>
            </w:pPr>
            <w:r w:rsidRPr="00420161">
              <w:rPr>
                <w:rFonts w:ascii="Arial" w:hAnsi="Arial" w:cs="Arial"/>
                <w:sz w:val="14"/>
                <w:szCs w:val="14"/>
              </w:rPr>
              <w:t>Información vigente de la administración en curso, y por lo menos una administración anterior.</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tcPr>
          <w:p w:rsidR="006720CE" w:rsidRPr="00420161" w:rsidRDefault="006720CE" w:rsidP="00BA2B3F">
            <w:pPr>
              <w:jc w:val="center"/>
            </w:pPr>
            <w:r w:rsidRPr="00420161">
              <w:rPr>
                <w:rFonts w:ascii="Arial" w:hAnsi="Arial" w:cs="Arial"/>
                <w:b/>
                <w:i/>
                <w:sz w:val="14"/>
                <w:szCs w:val="18"/>
              </w:rPr>
              <w:t>Fracción III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h) Las cuotas y tarifas aplicables a impuestos, derechos, contribuciones de mejoras, incluyendo las tablas de valores unitarios de suelos y construcciones que sirvan de base para el cobro de las contribuciones de la propiedad inmobiliaria;</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Anual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pStyle w:val="texto"/>
              <w:spacing w:line="218" w:lineRule="exact"/>
              <w:ind w:firstLine="0"/>
              <w:jc w:val="center"/>
              <w:rPr>
                <w:sz w:val="14"/>
                <w:szCs w:val="14"/>
              </w:rPr>
            </w:pPr>
            <w:r w:rsidRPr="00420161">
              <w:rPr>
                <w:sz w:val="14"/>
                <w:szCs w:val="14"/>
              </w:rPr>
              <w:t>Información vigente de la administración en curso, y por lo menos una administración anterior.</w:t>
            </w:r>
          </w:p>
          <w:p w:rsidR="006720CE" w:rsidRPr="00420161" w:rsidRDefault="006720CE" w:rsidP="00BA2B3F">
            <w:pPr>
              <w:spacing w:after="80" w:line="196" w:lineRule="exact"/>
              <w:jc w:val="center"/>
              <w:rPr>
                <w:rFonts w:ascii="Arial" w:hAnsi="Arial" w:cs="Arial"/>
                <w:sz w:val="14"/>
                <w:szCs w:val="14"/>
              </w:rPr>
            </w:pP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tcPr>
          <w:p w:rsidR="006720CE" w:rsidRPr="00420161" w:rsidRDefault="006720CE" w:rsidP="00BA2B3F">
            <w:pPr>
              <w:jc w:val="center"/>
            </w:pPr>
            <w:r w:rsidRPr="00420161">
              <w:rPr>
                <w:rFonts w:ascii="Arial" w:hAnsi="Arial" w:cs="Arial"/>
                <w:b/>
                <w:i/>
                <w:sz w:val="14"/>
                <w:szCs w:val="18"/>
              </w:rPr>
              <w:t>Fracción III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i) Los indicadores de los servicios públicos que presten;</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pStyle w:val="texto"/>
              <w:spacing w:after="0" w:line="240" w:lineRule="auto"/>
              <w:ind w:firstLine="0"/>
              <w:jc w:val="center"/>
              <w:rPr>
                <w:sz w:val="14"/>
                <w:szCs w:val="14"/>
              </w:rPr>
            </w:pPr>
            <w:r w:rsidRPr="00420161">
              <w:rPr>
                <w:sz w:val="14"/>
                <w:szCs w:val="14"/>
              </w:rPr>
              <w:t>Información vigente de la administración en curso, y por lo menos una administración anterior.</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tcPr>
          <w:p w:rsidR="006720CE" w:rsidRPr="00420161" w:rsidRDefault="006720CE" w:rsidP="00BA2B3F">
            <w:pPr>
              <w:jc w:val="center"/>
            </w:pPr>
            <w:r w:rsidRPr="00420161">
              <w:rPr>
                <w:rFonts w:ascii="Arial" w:hAnsi="Arial" w:cs="Arial"/>
                <w:b/>
                <w:i/>
                <w:sz w:val="14"/>
                <w:szCs w:val="18"/>
              </w:rPr>
              <w:t>Fracción III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j) El calendario de las actividades culturales, deportivas y recreativas a realizar; y,</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Trimestral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pStyle w:val="texto"/>
              <w:spacing w:after="0" w:line="240" w:lineRule="auto"/>
              <w:ind w:firstLine="0"/>
              <w:jc w:val="center"/>
              <w:rPr>
                <w:sz w:val="14"/>
                <w:szCs w:val="14"/>
              </w:rPr>
            </w:pPr>
            <w:r w:rsidRPr="00420161">
              <w:rPr>
                <w:sz w:val="14"/>
                <w:szCs w:val="14"/>
              </w:rPr>
              <w:t>Información vigente de la administración en curso, y por lo menos una administración anterior.</w:t>
            </w:r>
          </w:p>
        </w:tc>
      </w:tr>
      <w:tr w:rsidR="006720CE" w:rsidRPr="00420161" w:rsidTr="00BA2B3F">
        <w:trPr>
          <w:trHeight w:val="20"/>
        </w:trPr>
        <w:tc>
          <w:tcPr>
            <w:tcW w:w="1184" w:type="dxa"/>
            <w:vAlign w:val="center"/>
          </w:tcPr>
          <w:p w:rsidR="006720CE" w:rsidRPr="00420161" w:rsidRDefault="006720CE" w:rsidP="00BA2B3F">
            <w:pPr>
              <w:spacing w:after="80" w:line="196" w:lineRule="exact"/>
              <w:jc w:val="center"/>
              <w:rPr>
                <w:rFonts w:ascii="Arial" w:hAnsi="Arial" w:cs="Arial"/>
                <w:b/>
                <w:i/>
                <w:sz w:val="14"/>
                <w:szCs w:val="18"/>
              </w:rPr>
            </w:pPr>
            <w:r w:rsidRPr="00420161">
              <w:rPr>
                <w:rFonts w:ascii="Arial" w:hAnsi="Arial" w:cs="Arial"/>
                <w:b/>
                <w:i/>
                <w:sz w:val="14"/>
                <w:szCs w:val="18"/>
              </w:rPr>
              <w:t>Artículo 96…</w:t>
            </w:r>
          </w:p>
        </w:tc>
        <w:tc>
          <w:tcPr>
            <w:tcW w:w="1441" w:type="dxa"/>
          </w:tcPr>
          <w:p w:rsidR="006720CE" w:rsidRPr="00420161" w:rsidRDefault="006720CE" w:rsidP="00BA2B3F">
            <w:pPr>
              <w:jc w:val="center"/>
            </w:pPr>
            <w:r w:rsidRPr="00420161">
              <w:rPr>
                <w:rFonts w:ascii="Arial" w:hAnsi="Arial" w:cs="Arial"/>
                <w:b/>
                <w:i/>
                <w:sz w:val="14"/>
                <w:szCs w:val="18"/>
              </w:rPr>
              <w:t>Fracción III</w:t>
            </w:r>
            <w:r w:rsidRPr="00420161">
              <w:rPr>
                <w:rFonts w:ascii="Arial" w:hAnsi="Arial" w:cs="Arial"/>
                <w:b/>
                <w:sz w:val="14"/>
                <w:szCs w:val="18"/>
              </w:rPr>
              <w:t>…</w:t>
            </w:r>
          </w:p>
        </w:tc>
        <w:tc>
          <w:tcPr>
            <w:tcW w:w="1412" w:type="dxa"/>
            <w:vAlign w:val="center"/>
          </w:tcPr>
          <w:p w:rsidR="006720CE" w:rsidRPr="00420161" w:rsidRDefault="006720CE" w:rsidP="00BA2B3F">
            <w:pPr>
              <w:spacing w:after="80" w:line="196" w:lineRule="exact"/>
              <w:jc w:val="center"/>
              <w:rPr>
                <w:rFonts w:ascii="Arial" w:hAnsi="Arial" w:cs="Arial"/>
                <w:i/>
                <w:sz w:val="14"/>
                <w:szCs w:val="18"/>
              </w:rPr>
            </w:pPr>
            <w:r w:rsidRPr="00420161">
              <w:rPr>
                <w:rFonts w:ascii="Arial" w:hAnsi="Arial" w:cs="Arial"/>
                <w:i/>
                <w:sz w:val="14"/>
                <w:szCs w:val="18"/>
              </w:rPr>
              <w:t>k)  El atlas municipal de riesgos.</w:t>
            </w:r>
          </w:p>
        </w:tc>
        <w:tc>
          <w:tcPr>
            <w:tcW w:w="1517"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Anual</w:t>
            </w:r>
          </w:p>
        </w:tc>
        <w:tc>
          <w:tcPr>
            <w:tcW w:w="1622" w:type="dxa"/>
            <w:vAlign w:val="center"/>
          </w:tcPr>
          <w:p w:rsidR="006720CE" w:rsidRPr="00420161" w:rsidRDefault="006720CE" w:rsidP="00BA2B3F">
            <w:pPr>
              <w:spacing w:after="80" w:line="196" w:lineRule="exact"/>
              <w:jc w:val="center"/>
              <w:rPr>
                <w:rFonts w:ascii="Arial" w:hAnsi="Arial" w:cs="Arial"/>
                <w:sz w:val="14"/>
                <w:szCs w:val="18"/>
              </w:rPr>
            </w:pPr>
            <w:r w:rsidRPr="00420161">
              <w:rPr>
                <w:rFonts w:ascii="Arial" w:hAnsi="Arial" w:cs="Arial"/>
                <w:sz w:val="14"/>
                <w:szCs w:val="18"/>
              </w:rPr>
              <w:t>o---o</w:t>
            </w:r>
          </w:p>
        </w:tc>
        <w:tc>
          <w:tcPr>
            <w:tcW w:w="1536" w:type="dxa"/>
            <w:vAlign w:val="center"/>
          </w:tcPr>
          <w:p w:rsidR="006720CE" w:rsidRPr="00420161" w:rsidRDefault="006720CE" w:rsidP="00BA2B3F">
            <w:pPr>
              <w:pStyle w:val="texto"/>
              <w:spacing w:line="218" w:lineRule="exact"/>
              <w:ind w:firstLine="0"/>
              <w:jc w:val="center"/>
              <w:rPr>
                <w:sz w:val="14"/>
                <w:szCs w:val="14"/>
              </w:rPr>
            </w:pPr>
            <w:r w:rsidRPr="00420161">
              <w:rPr>
                <w:sz w:val="14"/>
                <w:szCs w:val="14"/>
              </w:rPr>
              <w:t>Información vigente y la correspondiente a todos los ejercicios de la administración en curso.</w:t>
            </w:r>
          </w:p>
        </w:tc>
      </w:tr>
    </w:tbl>
    <w:p w:rsidR="00853695" w:rsidRDefault="00853695">
      <w:bookmarkStart w:id="0" w:name="_GoBack"/>
      <w:bookmarkEnd w:id="0"/>
    </w:p>
    <w:sectPr w:rsidR="008536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0CE"/>
    <w:rsid w:val="006720CE"/>
    <w:rsid w:val="00853695"/>
    <w:rsid w:val="00872BB7"/>
    <w:rsid w:val="00CD0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C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6720CE"/>
    <w:pPr>
      <w:snapToGrid w:val="0"/>
      <w:spacing w:after="101" w:line="216" w:lineRule="exact"/>
      <w:ind w:firstLine="288"/>
      <w:jc w:val="both"/>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C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6720CE"/>
    <w:pPr>
      <w:snapToGrid w:val="0"/>
      <w:spacing w:after="101" w:line="216" w:lineRule="exact"/>
      <w:ind w:firstLine="288"/>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7937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2017-11-15T20:35:00Z</dcterms:created>
  <dcterms:modified xsi:type="dcterms:W3CDTF">2017-11-15T20:35:00Z</dcterms:modified>
</cp:coreProperties>
</file>